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Конвенсия дар бораи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барҳам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додани тамоми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шаклҳои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табъиз нисбати занон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резолюсияи 34/180 аз 18 декабри соли 1979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гардидааст</w:t>
        <w:br/>
        <w:t xml:space="preserve">ва барои имзо,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ҳамроҳшавӣ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боз аст.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узви ин Конвенсия,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 назардошти он ки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Оинномаи СММ бори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боварӣ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асосии инсон, ба шаъну эътибор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арзишҳои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шахсияти инсон ва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баробарҳуқуқии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занону мардонро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намуд,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 назардошти он ки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Эъломияи умумии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ҳукуқи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башар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принсипҳои роҳ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надодан ба табъизро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менамояд ва эълон медорад, ки тамоми одамон озоданд ва баробар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соҳиби қадру қиммат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дорои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 мебошанд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инсон аз шарафу номус ва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ҳуқуқу озодиҳо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 ягон тафовут бархурдоранд,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фарқияти ҷинсӣ,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 назардошти он ки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ба зиммаи давлати узви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Аҳдномаи байналмилалӣ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инсон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ӯҳдадории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таъмин 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баробари истифодаи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иқтисодӣ, иҷтимоӣ, фарҳангӣ, шаҳрвандӣ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 сиёсиро барои занону мардон гузоштааст,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 назардошти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Конвенсияҳои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байналмилалии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таҳти ҳимояи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СММ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муассисаҳои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махсуси он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мусоидат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баробарҳуқуқии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занону мардон баимзорасида,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ҳамчунин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 назардошти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резолютсияҳо, эъломияҳо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тавсияҳои қабулнамудаи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СММ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муассисаҳои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махсуси он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мусоидат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баробарҳуқуқии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занону мардон,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вале, бо ташвиш аз он ки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сарфи назар аз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ҳуҷҷатҳои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гуногун мисли пештара табъизи зиёде нисбати занон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дорад,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 хотирнишон намудан аз он ки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табъизи занон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принсипҳои баробарҳуқуқӣ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эҳтироми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шаъну эътибори инсонро халалдор месозад, ба иштироки занон баробар ба мардон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ҳаёти сиёсӣ, иҷтимоӣ, иқтисодӣ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фарҳангии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кишвари худ монеъ мегардад, ба болоравии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некӯаҳволии ҷомеа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оила халал мерасонад ва ба пурра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зоҳир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имкониятҳои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занон ба нафъи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кишварҳои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худ ва инсоният мушкилоти зиёд ба миён меорад,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 ташвиш аз он ки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дар шароити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қашшоқӣ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занон барои дастрас 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озуқаворӣ, тандурустӣ,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маориф, тарбияи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касбӣ, шуғл,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инчунин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эҳтиёҷот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имконияти камтар доранд,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боварӣ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аз он ки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намудани тартиби нави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иқтисодии байналмилалӣ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баробарӣ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адолат асосёфта дар таъмини баробарии байни мардону занон мусоидат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хоҳад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кард,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3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 таъкид аз он ки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рафъ намудани апартеид,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шаклҳои нажодпарастӣ,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табъизи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нажодӣ, мустамликадорӣ,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неоколониализм,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таҷовузгариҳо, ишғолгарӣ, ҳукмронӣ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даҳолати хориҷӣ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корҳои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дохилии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пурра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гардидани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мардону занон зарур мебошад,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аз он ки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таҳкими сулҳ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амнияти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байналмилалӣ,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сабук гардидани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ташаннуҷи байналмилалӣ, ҳамкории мутақобилаи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байни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сарфи назар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системаҳои иҷтимоӣ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иқтисодии онҳо, яроқпартоии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пурра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умумӣ,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хусусан халъи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силоҳи ядроӣ таҳти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назорати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қатъӣ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самараноки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байналмилалӣ,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пойдор гардидани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принсипҳои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адолат,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баробарӣ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манфиати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мутақобила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муносибатҳои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байни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кишварҳо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татбиқи ҳуқуқҳои халқҳои таҳти ҳукмронӣ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мустамликаи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хориҷӣ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тасарруфи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хориҷӣ қарордошта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худ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муайянкунӣ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истиқлолият,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эҳтироми истиқлолияти миллӣ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тамомияти арзии давлат ба пешрафт ва рушди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иҷтимоӣ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мусоидат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хоҳанд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 ва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натиҷа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ноил гардидан ба баробарии пурра байни мардону занон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кӯмак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менамоянд,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боварӣ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аз он ки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тараққиёти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пурраи кишвар,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некӯаҳволии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ҷаҳон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кори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сулҳ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иштироки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ҳадди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аксари занонро дар баробари мардон дар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талаб мекунанд,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 назардошти он ки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аҳамияти саҳми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занон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некӯаҳволии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оила ва дар пешрафти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ҷомеа, аҳамияти иҷтимоии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модар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нақши 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ду волидайн дар оила ва дар тарбияи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то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ҳанӯз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пурра эътироф нагардидааст ва бо дарки он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нақши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зан дар идома додани насл набояд сабаби табъиз гардад, зеро тарбияи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масъулияти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якҷояи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мардону занон ва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маҷмӯъ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ҷомеро тақозо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мекунад,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 эътироф аз он ки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барои ноил гаштан ба баробарии пурраи байни мардону занон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тағйир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мақоми ҳам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мардон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занон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ҷомеа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 дар оила зарур мебошад,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азми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қатъӣ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 ҷиҳати татбиқ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присипҳои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Эъломияи оид ба рафъи табъиз нисбати занон эълонгардида ва барои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андешидани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зарурӣ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рафъи чунин табъиз дар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шаклҳо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зуҳуроти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он,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мувофиқаи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зайл расиданд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КИСМИ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Конвенсия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мафҳуми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"табъиз нисбати занон"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фарқият, хориҷкунӣ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маҳдудсозӣ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нишонаи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ҷинсро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дорад, ки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заифгардонӣ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умуман эътироф накардан, истифода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татбиқи 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инсон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озодиҳои асосӣ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соҳаи сиёсӣ, иқтисодӣ, иҷтимоӣ, фарҳангӣ, шаҳрвандӣ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дигар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ҷониби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занон, сарфи назар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ҳолати иҷтимоии онҳо,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асоси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баробарҳуқуқии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мардону занон равона гардидааст.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табъиз нисбати занонро дар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шаклҳояш маҳкум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мекунанд ва розиянд бидуни таъхир бо истифодаи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усулҳои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дахлдор сиёсати рафъи табъиз нисбати занонро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монанд ва бо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 ӯҳдадор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мешаванд: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а)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принспҳои барбарбарҳуқуқии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мардону занонро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конститутсияҳои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миллии худ ё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қонунгузории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дахлдор, агар 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ҳанӯз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дохил карда нашуда бошад, ворид кунанд ва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кӯмаки қонун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воситаҳои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дахлдор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татбиқи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амалии ин принсипро таъмин намоянд;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ӣ) тадбирҳои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дахлдори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қонунгузорӣ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дигар,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мавриди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зарурӣ, муҷозоте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истифода мекунанд,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гуна табъизро нисбати занон манъ менамоянд;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ҳифзи ҳуқуқии ҳуқуқи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занонро дар асоси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баробарӣ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мардон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мекунанд ва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кӯмаки судҳои салоҳиятдори миллӣ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муассисаҳои давлатӣ ҳифзи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самараноки занонро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кирдори табъиз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ҳимоя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мекунанд;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содир намудани ягон кирдори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табъизӣ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нисбати занон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худдорӣ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мекунанд ва кафолат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медиҳанд,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мақомот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муассисаҳои давлатӣ 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ӯҳдадориҳо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амал мекунанд;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7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рафъи табъиз нисбати занон яз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ҷониби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ягон шахс, ташкилот ё корхона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дахлдорро меандешанд;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дахлдор,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тадбирҳои қонунгузориро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тағйир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бекор кардани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қонунҳои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амалкунанда,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қарорҳо,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расмиёт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амалҳое,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 нисбати занон табъиз мебошанд, меандешанд;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2" w:val="left"/>
        </w:tabs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муқаррароти қонунгузории ҷиноии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худро, ки нисбати занон табъиз мебошанд, бекор мекунанд.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3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дар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соҳаҳо,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соҳаҳои сиёсӣ, иҷтимоӣ, иқтисодӣ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фарҳангӣ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таъмини рушди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ҳамаҷониба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пешрафти занон меандешанд, то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татбиқ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истифодаи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инсон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озодиҳои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асосиро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асоси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баробарӣ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мардон кафолат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диҳанд.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4</w:t>
      </w:r>
      <w:bookmarkEnd w:id="4"/>
      <w:bookmarkEnd w:id="5"/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8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ҷониби 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андешида шудани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муваққатии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махсусе,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баҳри суръатбахшӣ ҷорӣ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намудани баробарии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воқеӣ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байни мардону занон равона гардидааст, тавре ки дар ин Конвенсия муайян мегардад, табъиз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ҳисобида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намешаванд, вале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ҳеҷ ваҷҳ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боиси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доштани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стандарҳои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нобаробар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тафриқашуда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гарданд;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бояд пас аз ноил гаштан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баробарии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имкониятҳо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муносибати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баробарҳуқуқ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бекор карда шаванд.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8" w:val="left"/>
        </w:tabs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ҷониби 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андешида шудани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махсусе, ки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ҳифзи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модар равонагардида,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тадбирҳое,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ин Конвенсия зикр шудаанд,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табъизӣ ҳисобида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намешаванд.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5</w:t>
      </w:r>
      <w:bookmarkEnd w:id="6"/>
      <w:bookmarkEnd w:id="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дахлдорро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зерин меандешанд: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тағйир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моделҳои иҷтимоӣ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фарҳангии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рафтори мардону занон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ноил гардидан ва аз байн бурдани хурофот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барҳам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додани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расму оин ва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таҷрибаи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дигаре, ки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ғояҳои ноқисӣ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бартарияти яке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ҷинсҳо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нақши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мардону занон асос ёфтаанд;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ӣ)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таъмин намудани он, ки тарбияи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оилавӣ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дарки дурусти модар буданро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ҳамчун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вазифаи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иҷтимоӣ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эътирофи масъулияти умумии мардону занонро барои тарбия ва рушди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 дар бар гирад, ба шарте ки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ҳолатҳо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манфиати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бартарият дошта бошад.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6</w:t>
      </w:r>
      <w:bookmarkEnd w:id="8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тадбирҳои қонунгузориро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пешгирӣ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намудҳои ҳариду фурӯши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занон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сӯиистифодаи фоҳишагарии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занон меандешанд.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ҚИСМИ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</w:t>
      </w:r>
      <w:bookmarkEnd w:id="10"/>
      <w:bookmarkEnd w:id="11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7</w:t>
      </w:r>
      <w:bookmarkEnd w:id="12"/>
      <w:bookmarkEnd w:id="1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тадбирҳоро ҷиҳати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рафъи табъиз нисбати занон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ҳаёти сиёсӣ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ҷамъиятии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кишвар меандешанд,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занон шароити баробар бо мардонро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масъалаҳои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зерин таъмин менамоянд: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овоздиҳӣ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интихобот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раъйпурсиҳои оммавӣ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интихоб шудан ба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мақомоти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ҷониби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омма интихобшаванда;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ӣ)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иштирок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таҳия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татбиқи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сиёсати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ҳукумат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ишғол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вазифаҳои давлатӣ,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вазифаҳои давлатӣ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сатҳҳои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идораи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давлатӣ;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806" w:val="left"/>
        </w:tabs>
        <w:bidi w:val="0"/>
        <w:spacing w:before="0" w:after="32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с)</w:t>
        <w:tab/>
        <w:t xml:space="preserve">иштирок намудан дар фаъолияти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ташкилотҳои ғайридавлатӣ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ассотсиатсияҳое,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проблемаҳои ҳаёти ҷамъиятӣ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сиёсии кишвар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машғуланд.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8</w:t>
      </w:r>
      <w:bookmarkEnd w:id="14"/>
      <w:bookmarkEnd w:id="1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меандешанд, то ки ба занон имконияти бо мардон баробар ва бидуни ягон табъиз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намояндагӣ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ҳукуматҳои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 дар арсаи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байналмилалӣ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иштирок дар кори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ташкилотҳои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байналмилалиро таъмин намоянд.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9</w:t>
      </w:r>
      <w:bookmarkEnd w:id="16"/>
      <w:bookmarkEnd w:id="17"/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6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ба занон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баробар бо мардонро нисбати гирифтан,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тағйир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додан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доштани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шаҳрвандии онҳо фароҳам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меоранд.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таъмин менамоянд, ки на бастани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ақди никоҳ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шахси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хориҷӣ,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тағйир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ёфтани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шаҳрвандии шаҳвар ҳангоми ақди никоҳ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боиси худ аз худ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тағйир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ёфтани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шаҳрвандии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зан намегардад,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ӯро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шахси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бешаҳрвандӣ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табдил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намедиҳанд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наметавонанд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ӯро маҷбур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созанд,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шаҳрвандии шаҳвари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кунад.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06" w:val="left"/>
        </w:tabs>
        <w:bidi w:val="0"/>
        <w:spacing w:before="0" w:after="32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ба занон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баробар бо мардонро нисбати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шаҳрвандии кӯдакони онҳо фароҳам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меоранд.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10</w:t>
      </w:r>
      <w:bookmarkEnd w:id="18"/>
      <w:bookmarkEnd w:id="1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дахлдорро барои он меандешанд, ки табъиз нисбати занонро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барҳам диҳанд,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то ки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баробар бо мардонро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маориф таъмин кунанд ва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заминаи баробарии мардону занон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инҳоро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таъмин намоянд: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а) шароити якхела барои интихоби касб ё ихтисос,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дастрасӣ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таълим ва гирифтани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дипломҳо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муассисаҳои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таълимии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категорияҳо ҳам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деҳот, ҳам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ноҳияҳои шаҳрӣ;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баробарӣ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таълими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томактабӣ, умумӣ,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 ва олии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техникӣ,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инчунин дар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навъҳои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тарбияи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касбӣ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таъмин мегардад;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ӣ) дастрасӣ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барномаҳои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якхелаи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таълимӣ, имтиҳонҳои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якхела,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ҳайати омӯзгорони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ихтисоси якхела,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иморатҳои мактабӣ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таҷҳизоти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баробарсифат;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5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с)</w:t>
        <w:tab/>
        <w:t xml:space="preserve">бартарафсозии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консепсияҳои муқаррарии нақши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мардону занон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сатҳҳо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шаклҳои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таълим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роҳи ҳавасмандгардонии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таълими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якҷоя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навъҳои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таълим, ки барои ноил гардидан ба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роҳи таҷдиди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назар 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дастурҳои таълимӣ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барномаҳои мактабӣ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мутобиқгардонии усулҳои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таълим мусоидат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хоҳанд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кард;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имкониятҳои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якхела дар гирифтани идрор ва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кӯмакпулиҳо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барои таълим;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5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имкониятҳои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якхелаи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дастрасӣ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барномаҳои идомадиҳии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таълим,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барномаҳои панҳкунии саводнокӣ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байни калонсолон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барномаҳои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саводнокии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функсионалӣ,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ҳарчи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зудтар кам кардани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фарқият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дар дониши мардону занон равона гардидаанд;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9" w:val="left"/>
        </w:tabs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кам кардани шумораи духтароне, ки мактабро хатм накардаанд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таҳияи барномаҳо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духтарону заноне, ки пеш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мӯҳлат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мактабро тарк намудаанд;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02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имкониятҳои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якхела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ҷиҳати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фаъолона иштирок намудан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машғулиятҳои варзишӣ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тарбияи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ҷисмонӣ;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9" w:val="left"/>
        </w:tabs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дастрасӣ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иттилооти махсуси дорои хислати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таълимӣ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мусоидат намудан ба таъмини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саломатӣ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некӯаҳволии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оила,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иттилоот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машваратҳо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оид ба танзими андозаи оила.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11</w:t>
      </w:r>
      <w:bookmarkEnd w:id="20"/>
      <w:bookmarkEnd w:id="21"/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дахлдорро барои рафъи табъиз нисбати занон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соҳаи шуғл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меандешанд, то ки дар асоси баробарии мардону занон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баробарро таъмин намоянд,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ҷумла: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а)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меҳнат ҳамчун ҳуқуқи ҷудонопазири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тамоми одамон;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ӣ) 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имконияти якхела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ҳангоми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кироя ба кор,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истифодаи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меъёрҳои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якхелаи интихоб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ҳангоми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кироя;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54" w:val="left"/>
        </w:tabs>
        <w:bidi w:val="0"/>
        <w:spacing w:before="0" w:after="16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интихоби озодонаи ихтисос ё навъи кор,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пешравӣ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вазифа ва кафолати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шуғл,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инчунин ба истифодаи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имтиёз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шартҳои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кор, ба гирифтани тарбияи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касбӣ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бозомӯзӣ,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шогирдӣ,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тарбияи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касбӣ,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такмили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сатҳи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ихтисос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бозомӯзии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мунтазам;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6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мукофотонии баробар,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гирифтани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имтиёзҳо,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шартҳои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баробар нисбати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меҳнати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баробарарзиш, инчунин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бархӯрди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баробар нисбати арзёбии сифати кор;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5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таъминоти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иҷтимоӣ,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ҳангоми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нафақа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баромадан,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бекорӣ, беморӣ, маъюбӣ, пиронсолӣ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дар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даст додани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қобилияти корӣ,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 рухсатии пардохтшаванда;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ҳифзи саломатӣ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шароити бехатари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меҳнат,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функсияи давом додани насл.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пешгирӣ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намудани табъиз нисбати занон бинобар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шавҳар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баромадан ё модар шудан ва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кафолат додани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самаранок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меҳнат 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дахлдоре меандешанд, то ки: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а) аз кор озод карданро бинобар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ҳомиладорӣ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рухсатии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ҳомиладорӣ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таваллуд ё табъиз бинобар вазъи оилавиро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таҳдиди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истифодаи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муҷозот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манъ кунанд;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ӣ) рухсатиҳои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пардохтшаванда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рухсатиҳои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баробар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кӯмакпулиҳои иҷтимоӣ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бинобар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ҳомиладорӣ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таваллудро бе аз даст додани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кори пештара,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калонӣ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ҷиҳати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мансаб)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кӯмакпулиҳои иҷтимоӣ ҷорӣ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намоянд;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5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хизматҳои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зарурии иловагии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иҷтимоиро ҳавасманд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гардонанд, то ки ба падару модарон имконият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диҳанд онҳо иҷрои ӯҳдадориҳои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оилавиро бо фаъолияти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меҳнатӣ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иштирок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ҳаёти ҷамъиятӣ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тавъам кунанд,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тавассути таъсис ва васеъ намудани шабакаи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муассисаҳои нигоҳубини кӯдакон;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9" w:val="left"/>
        </w:tabs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занҳо ҳифзи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махсусро дар давраи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ҳомиладорӣ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навъҳои корҳое,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зарарнокиашон барои саломатии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тасдиқ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шудааст, таъмин намоянд.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5" w:val="left"/>
        </w:tabs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Қонунгузории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марбут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ҳифзи ҳуқуқ,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ин модда зикр гардидааст, мунтазам дар заминаи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донишҳои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илмию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техникӣ баррасӣ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таҷдиди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назар мегардад, инчунин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ҳолатҳои зарурӣ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бекор карда мешавад ё васеъ мегардад.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12</w:t>
      </w:r>
      <w:bookmarkEnd w:id="22"/>
      <w:bookmarkEnd w:id="2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дахлдорро барои рафъи табъиз нисбати занон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соҳаи тандурустӣ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меандешанд, то ки дар заминаи баробарии мардону занон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дастрасӣ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хизматрасонии тиббиро,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дар бахши марбут ба танзими андозаи оила, таъмин намоянд.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Дар баробари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банди 1 ин модда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ба занон хизматрасонии дахлдорро дар давраи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ҳомиладорӣ,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таваллуд ва давраи пас аз таваллуд таъмин мекунанд ва дар мавриди зарурат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хизматҳои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бепул, инчунин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ғизои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дахлдорро дар давраи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ҳомиладорӣ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ширмакконӣ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мерасонанд.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13</w:t>
      </w:r>
      <w:bookmarkEnd w:id="24"/>
      <w:bookmarkEnd w:id="2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дахлдорро барои рафъи табъиз нисбати занон дар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соҳаҳои ҳаёти иқтисодӣ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иҷтимоӣ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меандешанд, то ки дар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асоси баробарии мардону занон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баробарро таъмин намоянд,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ҷумла: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а)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кӯмакпулиҳои оилавӣ;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ӣ) 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гирифтани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қарзҳо, қарз таҳти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кафолати амволи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ғайриманқул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шаклҳои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кредити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молиявӣ;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с)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иштирок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чорабиниҳои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вобаста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истироҳат, машғулшавӣ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варзиш ва дар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соҳаҳои ҳаёти фарҳангӣ.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14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проблемаҳои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махсусеро, ки занони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деҳот истиқоматкунанда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бармехӯранд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нақши муҳимеро,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таъмини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некӯаҳволии иқтисодии оилаҳои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 мебозанд, инчунин фаъолияти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соҳаҳои ғайримолии хоҷагӣ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инобат мегиранд ва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таъмини истифодаи ин Конвенсия нисбати занони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деҳот истиқоматкунанда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меандешанд.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заруриро барои рафъи табъиз нисбати занон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ноҳияҳои деҳот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меандашанд, то ки дар асоси баробаробарии мардону занон, иштироки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рушди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ноҳияҳои деҳот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дар дарёфти фоида аз чунин рушд таъмин намоянд ва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зеринро ба чунин занон таъмин мекунанд: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а) иштирок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таҳия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татбиқи нақшаҳои тараққиёт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сатҳҳо;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ӣ) дастрасӣ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хизматрасонии дахлдори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тиббӣ,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иттилоот,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маслиҳатҳо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хизматрасонӣ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масъалаҳои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танзими андозаи оила;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с) бевосита истифода намудани самараи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барномаҳои суғуртаи иҷтимоӣ;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дастрас 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навъҳои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тарбия ва таълими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расмӣ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ғайрирасмӣ,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саводнокии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функсионалӣ,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инчунин истифода бурдан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хизматҳои ҳама воситаҳои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хизматрасонии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қабилавӣ,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хадамоти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маслиҳатдиҳанда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масъалаҳои кишоварзӣ,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баланд бардоштани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сатҳи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техникии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онҳо;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е)</w:t>
        <w:tab/>
        <w:t xml:space="preserve">ташкил 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гурӯҳҳои худкӯмакрасонӣ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кооперативҳо,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таъмини дастрасии баробар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имкониятҳои иқтисодӣ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тавассути кор дар асоси кироя ё фаъолияти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мустақили меҳнатӣ;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иштирок намудан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навъҳои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фаъолияти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коллективӣ;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дастрасӣ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кредитҳо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қарзҳои кишоварзӣ,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системаи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фурӯш,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технологияи дахлдор ва ба статуси баробар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ислоҳоти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замин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аграрӣ,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инчунин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нақшаҳои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азнавободкунии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заминҳо;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800" w:val="left"/>
        </w:tabs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истифодаи шароити зарурии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ҳаёт,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хусусан шароити манзил, хизматрасонии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санитарӣ,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таъминоти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об, инчунин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нақлиёт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воситаҳои алоқа.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ҚИСМИ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IV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15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00" w:val="left"/>
        </w:tabs>
        <w:bidi w:val="0"/>
        <w:spacing w:before="0" w:after="16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баробарии занонро бо мардон дар назди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қонун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эътироф мекунанд.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7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ба занон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қобилияти ҳуқуқии шаҳрвандии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якхела бо мардон ва имконияти якхелаи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татбиқи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онро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фароҳам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меоранд.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занон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баробарро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ҳангоми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бастани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шартномаҳо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идораи амвол, инчунин муносибати баробар нисбати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марҳалаҳои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тафтишот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судҳо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трибуналҳо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таъмин менамоянд.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7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ба он розиянд, ки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шартномаҳо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ҳуҷҷатҳои алоҳидае,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нигоҳи ҳукуқӣ қобилияти ҳуқуқии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занонро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маҳдуд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менамоянд, беэътибор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ҳисобида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мешаванд.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70" w:val="left"/>
        </w:tabs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ба мардону занон нисбати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қонунгузории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марбут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ҳаракати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шахсон ва озодии интихоби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зист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ҷои истиқомат ҳуқукҳои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якхела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медиҳанд.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16</w:t>
      </w:r>
      <w:bookmarkEnd w:id="26"/>
      <w:bookmarkEnd w:id="27"/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7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дахлдорро барои рафъи табъиз нисбати занон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гуна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масъалаҳои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марбут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ақиди никоҳ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муносибатҳои оилавӣ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меандешанд ва,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асоси баробарии мардону занон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инҳоро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таъмин мекунанд: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а)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якхела дар мавриди бастани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ақди никоҳ;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ӣ) 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якхела ба интихоби озоди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ҳамсар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ба бастани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ақди никоҳ танҳо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 розигии озодона ва пурраи худ;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с)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ӯҳдадориҳои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якхела дар давраи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никоҳ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ҳангоми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бекор кардани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ақди нигоҳ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d;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ӯҳдадориҳои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якхелаи мардону занон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ҳамчун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падару модарон, сарфи назар аз вазъи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оилавӣ,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масъалаҳои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марбут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кӯдакони онҳо;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ҳолатҳо манфиатҳои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бартарият доранд;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7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е)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якхела ба озодона ва бомасъулият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кардани масъалаи шумораи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фосилаи байни таваллуди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доштани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дастрасӣ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иттилоот, таълим, инчунин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воситаҳое,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татбиқи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имконият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медиҳанд;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7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ӯҳдадориҳои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якхела дар мавриди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васӣ,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парастор, шахси боваринок ва фарзанхондкунандаи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будан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анҷом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функсияҳои шабеҳ, ҳангоме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қонунгузории миллӣ пешбинӣ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гардидаанд;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ҳолатҳо манфиатҳои кӯдакон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бартарият доранд;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7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шахсии баробари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шавҳар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зан,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ҳуқуқи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интихоби номи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хонаводагӣ,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ихтисос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>машғулият;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7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баробари зану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шавҳар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нисбати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соҳибият, харидорӣ, идоракунӣ,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истифода ва ихтиёрдории амвол чи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пулакӣ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 чи бепул.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7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Фотиҳа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никоҳи кӯдак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эътибори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надоранд ва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зарурӣ,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 қонунгузорӣ,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муайян намудани синну соли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ҳадди ақалли ақди никоҳ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бақайдгирии ҳатмии ақди никоҳ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санадҳои ҳолати шаҳрвандӣ,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андешида мешаванд.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ҚИСМИ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Барои баррасии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ҷараёни татбиқи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Конвенсия Кумитаи оид ба рафъи табъиз нисбати занон (минбаъд "Кумита" номида мешавад), ки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лаҳзаи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эътибор пайдо намудани Конвенсия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ҳаждаҳ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пас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он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ҳамроҳшавии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давлати сию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панҷуми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узв ба он аз бисту се коршиноси дорои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сифатҳои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баланди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ахлоқӣ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салоҳият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Ковенсия фарогиранда мебошанд, таъсис дода мешавад. Ин коршиносонро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ҷумлаи шаҳрвандони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 интихоб мекунанд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ӯҳдадориҳои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худро ба сифати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шахсӣ иҷро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менамоянд, зимнан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таваҷҷӯҳ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тақсимоти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одилонаи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географӣ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намояндагии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шаклҳои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мухталифи тамаддун, инчунин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системаҳои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асосии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ҳуқуқӣ зоҳир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мегардад.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Аъзои Кумита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тариқи овоздиҳии пинҳонӣ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шахсони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рӯйхат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воридгардидае,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пешбарӣ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намудаанд, интихоб карда мешаванд.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давлати узв метавонад як шахсро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ҷумлаи шаҳрвандони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пешбарӣ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намояд.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Интихоботи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ибтидоӣ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 аз шаш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моҳи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баъди эътибор пайдо намудани ин Ковенсия доир карда мешаванд.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Ақаллан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пеш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рӯзи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гузаронидани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интихобот, Котиби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бо мактуб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муроҷиат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намуда,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даъват мекунад,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номзадҳои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худро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мӯҳлати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ду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моҳ 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намоянд. Котиби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Генералӣ рӯйхатеро таҳия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менамояд, ки дар он бо тартиби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алифбоӣ ҳамаи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шахсоне,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тариқ пешбарӣ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шудаанд, ворид гардидаанд ва дар 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аъзое,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онҳоро пешбарӣ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кардаанд, нишон дода шудаанд ва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рӯйхатро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мекунад.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Интихоби аъзои Кумита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маҷлиси 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аъзои Конвенсия, ки Котиби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Генералӣ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Муассисаҳои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марказии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даъват мекунад, доир карда мешаванд. Дар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маҷлис,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дар он аз се ду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ҳиссаи 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чорумро ташкил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медиҳанд,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шахсони ба Кумита интихобшуда 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номзадҳое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мебошанд, ки шумораи бештари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овозҳо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аксарияти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овозҳои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намояндагони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ҳузурдошта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овоздиҳӣ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иштирокнамудаи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аъзоро сазовор шудаанд.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Аъзои Комиссия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мӯҳлати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чор сол интихоб мегарданд, вале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мӯҳлати ваколатҳои нӯҳ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аъзои дар интихоботи аввал интихобгардида баъди ду сол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анҷом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мерасад; фавран пас аз интихоботи аввал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номҳои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нӯҳ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дар асоси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қуръа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ҷониби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раиси Кумита муайян карда мешаванд.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Интихоби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панҷ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аъзои иловагии Кумита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муқаррароти бандҳои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2, 3 ва 4 ин модда пас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ба Конвенсия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шудани давлати сию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панҷум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гузаронида мешавад.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Мӯҳлати ваколатҳои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ду аъзои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иловагӣ,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ҳамин тариқ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интихоб гардидаанд, баъди ду сол ба охир мерасад;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номҳои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ду аъзо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тариқи қуръапартоӣ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ҷониби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Раиси Кумита интихоб карда мешаванд.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пур кардани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ҷойҳои ишғолнагардидаи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пешбининашуда давлати узве, ки коршиноси он минбаъд узви Кумита намебошад, коршиноси дигарро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ҷумлаи шаҳрвандони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худ таъин мекунад, ба шарте ки Кумита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маъқул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донад.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69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Аъзои Кумита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ҳисоби маблағҳои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СММ бо тартиб 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шартҳое,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Ассамблея бо назардошти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аҳамияти ӯҳдадориҳои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Кумита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менамояд, мукофотпулие мегиранд, ки онро Ассамблеяи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Генералӣ тасдиқ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мекунад.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69" w:val="left"/>
        </w:tabs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Котиби Генералии СММ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татбиқи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самарабахши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вазифаҳои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Кумита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Конвенсия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ҳайат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маблағҳои зарурӣ фароҳам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меорад.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18</w:t>
      </w:r>
      <w:bookmarkEnd w:id="28"/>
      <w:bookmarkEnd w:id="2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ӯҳдадор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мешаванд ба Котиби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ҷониби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Кумита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баррасӣ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гардидан 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қонунгузорӣ, судӣ, маъмурӣ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иҷрои муқаррароти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Конвенсия андешидаанд ва оид ба пешрафте, ки робита бо ин ба даст омадааст,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маърӯза 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намоянд: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 дар давоми як соли пас аз барои давлати манфиатдор эътибор пайдо намудани ин Конвенсия; ва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ӣ)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баъд аз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ақаллан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чор сол ва минбаъд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лаҳзае,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 Кумита онро талаб мекунад.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маърӯзаҳо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метавонанд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омилҳо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мушкилоте, ки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сатҳи иҷрои ӯҳдадориҳои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 Конвенсия таъсир мерасонанд, зикр гарданд.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19</w:t>
      </w:r>
      <w:bookmarkEnd w:id="30"/>
      <w:bookmarkEnd w:id="3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Кумита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қоидаҳои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расмияти худро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менамояд.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Кумита шахсони мансабдори худро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мӯҳлати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ду сол интихоб менамояд.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20</w:t>
      </w:r>
      <w:bookmarkEnd w:id="32"/>
      <w:bookmarkEnd w:id="3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Кумита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сол, чун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қоида,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мӯҳлати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зиёда аз ду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ҳафта,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баррасии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маърӯзаҳое,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моддаи 18 ин Конвенсия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шудаанд,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маҷлисҳо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мегузаронад.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Маҷлисҳои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Кумита одатан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Муасисаҳои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марказии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ҷои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дигари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мувофиқе,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 Кумита муайян менамояд, гузаронида мешаванд.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21</w:t>
      </w:r>
      <w:bookmarkEnd w:id="34"/>
      <w:bookmarkEnd w:id="3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Кумита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сол тавассути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Шӯрои иқтисодӣ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иҷтимоӣ маърӯзаи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Ассамблеяи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фаъолияти худ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мекунад ва метавонад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тавсияҳои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умумие ворид намояд, ки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омӯзиши маърӯзаҳо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иттилооти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гирифташуда асос ёфтаанд.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тавсияҳои умумӣ якҷоя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эродҳои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баённамудаи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аъзо, агар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эродҳо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баён гардида бошанд,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маърӯзаи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Кумита дохил карда мешаванд.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Котиби Генералии СММ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маърӯзаҳои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Кумитаро барои маълумот ба Комиссияи оид ба вазъи занон мефиритад.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36" w:name="bookmark36"/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22</w:t>
      </w:r>
      <w:bookmarkEnd w:id="36"/>
      <w:bookmarkEnd w:id="3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Муассисаҳои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доранд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ҳангоми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баррасии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масъалаҳои татбиқи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Конвенсия, ки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фаъолияти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дохил мешаванд,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гарданд. Кумита метавонад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муассисаҳои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махсуси худ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намояд,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маърӯзаҳоро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татбиқи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Конвенсия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соҳаҳои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доираи фаъолияти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дохилбуда ирсол намоянд.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ҚИСМИ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VI</w:t>
      </w:r>
      <w:bookmarkEnd w:id="38"/>
      <w:bookmarkEnd w:id="39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40" w:name="bookmark40"/>
      <w:bookmarkStart w:id="41" w:name="bookmark4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23</w:t>
      </w:r>
      <w:bookmarkEnd w:id="40"/>
      <w:bookmarkEnd w:id="4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Ҳеҷ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чиз дар ин Конвенсия ба ягон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муқаррароте,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барои ноил гардидан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баробарҳуқуқии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байни мардону занон мусоидтар буда,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метавонанд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инҳо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зикр гардида бошанд, дахл намекунад: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а)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қонунгузории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давлати узв; ё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в) дар ягон дигар Конвенсия,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аҳднома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ё Конвенсияи байналмилалие, ки барои чунин давлат эътибор дорад.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24</w:t>
      </w:r>
      <w:bookmarkEnd w:id="42"/>
      <w:bookmarkEnd w:id="4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ӯҳдадор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мешаванд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заруриро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сатҳи миллӣ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ноил гардидан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татбиқи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пурраи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ҳуқуқҳои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дар ин Конвенсия эътирофгардида андешанд.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44" w:name="bookmark44"/>
      <w:bookmarkStart w:id="45" w:name="bookmark4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25</w:t>
      </w:r>
      <w:bookmarkEnd w:id="44"/>
      <w:bookmarkEnd w:id="4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Ин Конвенсия барои имзо кардан аз тарафи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давлатҳо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боз мебошад.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Котиби Генералии СММ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маҳфуздорандаи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 Конвенсия таъин карда мешавад.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0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Конвенсия бояд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шавад.Тасдиқномаҳо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Котиби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супорида мешаванд.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00" w:val="left"/>
        </w:tabs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Конвенсия барои ба он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ҳамаи давлатҳо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боз аст.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тариқи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Котиби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супоридани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ҳуҷҷат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хусуси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сурат мегирад.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46" w:name="bookmark46"/>
      <w:bookmarkStart w:id="47" w:name="bookmark4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26</w:t>
      </w:r>
      <w:bookmarkEnd w:id="46"/>
      <w:bookmarkEnd w:id="4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Хоҳиш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оид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таҷдиди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назар намудани ин Конвенсия метавонад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вақт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ҷониби 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давлати узв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тариқи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ирсол намудани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огоҳинома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унвони Котиби Генералии СММ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пешниҳод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карда шавад.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Ассамблеяи Генералии СММ, агар андешидани ягон тадбирро зарур шуморад, дар хусуси он ки андешидани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маҳз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кадом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тадбирҳо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нисбати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хоҳиш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зарур мебошад,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қарор қабул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мекунад.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48" w:name="bookmark48"/>
      <w:bookmarkStart w:id="49" w:name="bookmark4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27</w:t>
      </w:r>
      <w:bookmarkEnd w:id="48"/>
      <w:bookmarkEnd w:id="4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Ин Конвенсия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рӯзи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сиюми баъди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Котиби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супорида шудани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тасдиқнома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ҳуҷҷати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бистум дар хусуси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ҳамроҳшавӣ,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эътибор пайдо мекунад.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 давлате, ки ин Конвенсияро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мекунад ё ба он баъди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супорида шудани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тасдиқнома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ҳуҷҷати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бистум дар хусуси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ҳамроҳшавӣ, ҳамроҳ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мешавад, ин Конвенсия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рӯзи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сиюми баъди санаи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супорида шудани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тасдиқнома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ҳуҷҷат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хусуси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ҳамроҳшавии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он давлат, эътибор пайдо мекунад.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50" w:name="bookmark50"/>
      <w:bookmarkStart w:id="51" w:name="bookmark5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28</w:t>
      </w:r>
      <w:bookmarkEnd w:id="50"/>
      <w:bookmarkEnd w:id="5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Котиби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матни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қайду шартҳоеро,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лаҳзаи тасдиқ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кардан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баён намудаанд, мегирад ва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ҳама давлатҳо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мефиристад.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қайду шартҳои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мақсаду вазифаҳои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Конвенсия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мутобиқнабуда роҳ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дода намешаванд.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9" w:val="left"/>
        </w:tabs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Қайду шартҳо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метавонанд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вақт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роҳи огоҳиномаи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дахлдоре, ки ба унвони Котиби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Генералӣ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фиристода шудааст ва баъдан он дар ин бора ба тамоми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хабар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медиҳад,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бозпас гирифта шаванд.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огоҳинома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рӯзи қабули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он эътибор пайдо мекунад.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52" w:name="bookmark52"/>
      <w:bookmarkStart w:id="53" w:name="bookmark5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29</w:t>
      </w:r>
      <w:bookmarkEnd w:id="52"/>
      <w:bookmarkEnd w:id="5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кадом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баҳс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байни ду ё якчанд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дар мавриди тафсир ё истифодаи ин Конвенсия, ки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тариқи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гуфтушунид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нагардидааст, бо дархости яке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тарафҳо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баррасии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ҳакамӣ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супорида мешавад. Агар дар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мӯҳлати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шаш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моҳи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 аз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лаҳзаи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додани ариза оид ба баррасии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ҳакамӣ тарафҳо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мавриди ташкили баррасии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ҳакамӣ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мувофиқа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нарасида бошанд,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кадоме аз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тарафҳо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метавонад 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баҳсро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роҳи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додани аризаи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хаттӣ 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Статути Суд ба Суди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Байаналмилалӣ таҳвил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намояд.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Давлати узв метавонад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ҳангоми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имзо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Конвенсия ё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ҳамроҳшавӣ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он арз намояд, ки он худро дар иртибот ба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иҷрои ӯҳдадориҳои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дар банди 1 ин модда зикргардида вазифадор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намеҳисобад.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Дигар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давлатҳои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аъзо нисбати ягон давлати узве, ки чунин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қайду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шартро гузоштааст,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ӯҳдадориҳои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аз банди зикрардидаи ин модда барояндаро ба зимма намегиранд.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9" w:val="left"/>
        </w:tabs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Давлати узве,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мутобиқи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банди 2 ин модда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қайду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шарт гузоштааст, метавонад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ҳар вақт қайду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шарти худро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роҳи огоҳонии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Котиби Генералии СММ бардорад.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54" w:name="bookmark54"/>
      <w:bookmarkStart w:id="55" w:name="bookmark5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Моддаи 30</w:t>
      </w:r>
      <w:bookmarkEnd w:id="54"/>
      <w:bookmarkEnd w:id="5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 Конвенсия, ки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матнҳои англисӣ, арабӣ, испанӣ, хитоӣ, русӣ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 франсузии он 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ҳам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баробаранд, барои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нигоҳдорӣ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 Котиби Генералии Созмони Милали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Муттаҳид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супурда мешавад.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тасдиқи нуктаҳои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зикргардида дар зер имзогузоштагоне, ки ба таври </w:t>
      </w:r>
      <w:r>
        <w:rPr>
          <w:color w:val="000000"/>
          <w:spacing w:val="0"/>
          <w:w w:val="100"/>
          <w:position w:val="0"/>
          <w:shd w:val="clear" w:color="auto" w:fill="auto"/>
          <w:lang w:val="tg-TJ" w:eastAsia="tg-TJ" w:bidi="tg-TJ"/>
        </w:rPr>
        <w:t xml:space="preserve">зарурӣ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барои ин ваколатдор гардидаанд, ин Конвенсияро имзо намуданд.</w:t>
      </w:r>
    </w:p>
    <w:sectPr>
      <w:footnotePr>
        <w:pos w:val="pageBottom"/>
        <w:numFmt w:val="decimal"/>
        <w:numRestart w:val="continuous"/>
      </w:footnotePr>
      <w:pgSz w:w="11900" w:h="16840"/>
      <w:pgMar w:top="1114" w:left="1652" w:right="802" w:bottom="986" w:header="686" w:footer="55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00"/>
      <w:numFmt w:val="lowerRoman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4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4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6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4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6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4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4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24">
    <w:multiLevelType w:val="multilevel"/>
    <w:lvl w:ilvl="0">
      <w:start w:val="6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6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ind w:firstLine="40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Помощник</dc:creator>
  <cp:keywords/>
</cp:coreProperties>
</file>