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иловаг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Паймони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доир</w:t>
        <w:br/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фитрӣ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сиёсӣ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 қатъномаи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2200 А (ХХ1) Ассамблеяи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16 декабри соли 1966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ҷиҳати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имзо, тасвиб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шудан боз аст.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9 аз 23 марти соли 1976 эътибор пайдо кардааст.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Протокол, бо назардошти ин, ки ба хотири ноилшавии минбаъда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Паймон доир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шаҳрвандӣ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сиёсӣ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(минбаъд "Паймон" номида мешавад)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мақсад хоҳад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буд, ки ба Кумитаи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башар (минбаъд "Кумита" номида мешавад), ки 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Паймон таъсис дода мешавад, чунон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пешбинӣ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имконияти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маълумотро аз ашхоси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алоҳида,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Паймон зикршудаи худро поймолшуда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меҳисобанд,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 шавад, доир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моддаҳои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зерин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расиданд: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ширкаткунандаи Паймон, ки 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мегардад,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салоҳияти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Кумитаро дар бобати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маълумот аз ашхоси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тобеияти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он, ки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Паймон зикршудаи худро дар давлати ширкаткунанда поймолшуда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меҳисобанд,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эътироф мекунад. Кумита ягон маълумотеро, ки ба давлати ширкаткунандаи Паймон, вале 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набуда дахл дорад,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сурати риояи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1 ашхосе, ки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Паймон зикршудаи худро поймолшуда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меҳисобанд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воситаҳои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дохилии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ҳимояи ҳуқуқиро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 ба охир истифода кардаанд, метавонанд ба баррасии Кумита маълумоти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хаттӣ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намоянд.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3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маълумоти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пешниҳодшудаеро,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бе муаллиф аст ё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ақидаи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вай,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сӯиистифода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чунин маълумот аст ё мухолифи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Паймон мебошад,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қобили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нашуморад.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4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сурати риояи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3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маълумоти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 вай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пешниҳодшударо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маълумоти давлати 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тибқи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маълумот,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Паймонро вайрон мекунад, мерасонад.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5" w:val="left"/>
        </w:tabs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Давлате, ки хабарномаро гирифтааст, дар давоми шаш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изҳороти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хаттие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мекунад, ки дар он ин масъала тафсир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 мешавад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тадбире (агар андешида шуда бошад), ки метавонист аз тарафи ин давлат андешида шавад, зикр мегардад.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5</w:t>
      </w:r>
      <w:bookmarkEnd w:id="10"/>
      <w:bookmarkEnd w:id="11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маълумоти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Паймон гирифташударо бо назардошти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далелҳои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хаттие, ки ба вай аз тарафи шахси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алоҳида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давлати ширкаткунандаи манфиатдор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ягон маълумотро аз ашхос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намекунад, агар итминон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ҳосил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накунад, ки: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масъала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 расмиёти мурофиа ё танзими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 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намегардад;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воситаҳои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имконпазири дохилии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ҳимояи ҳуқуқиро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 ба охир истифода накардааст.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истифодаи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воситаҳо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беасос ба таъхир андохта мешавад, амал намекунад.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баррасии маълумоте,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пешбинӣ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менамояд,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ҷаласаҳои пӯшида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доир мекунад.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мулоҳизоти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ба давлати ширкаткунанда ва шахси дахлдор хабар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медиҳад.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6</w:t>
      </w:r>
      <w:bookmarkEnd w:id="12"/>
      <w:bookmarkEnd w:id="1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маърӯзаи ҳарсолаи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худ, ки дар моддаи 45 Паймон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пешбинӣ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гузориши мухтасарро дар бораи фаъолияти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дохил 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7</w:t>
      </w:r>
      <w:bookmarkEnd w:id="14"/>
      <w:bookmarkEnd w:id="1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Минбаъд то расидан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қатъномаи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1514 (XV), ки аз тарафи 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14 декабри соли 1960 дар бобати Эъломия оид ба 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истиқлолият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кишварҳо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халқҳои истеъморӣ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ҳеҷ ваҷҳ ҳуқуқи пешниҳоди шикоятномаҳоро,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халқҳо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тавассути Оинномаи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Конвенсияҳои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асноди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махсусгардонидашудаи он дода шудааст,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маҳдуд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намесозад.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8</w:t>
      </w:r>
      <w:bookmarkEnd w:id="16"/>
      <w:bookmarkEnd w:id="17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барои имзо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давлате, ки Паймонро имзо кардааст, боз аст.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аз тарафи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давлате, ки Паймонро ба тасвиб расонидааст ё ба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шудааст, ба тасвиб расонида мешавад.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Тасвибномаҳо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ихтиёри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супорида мешаванд.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0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ҳамроҳшавии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давлате, ки Паймонро ба тасвиб расонидааст ё ба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шудааст, боз аст.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ихтиёри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супоридани санад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сурат мегирад.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ҳамаи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имзогузошта ё ба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ҳамроҳшударо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хусуси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тасвибнома ё санад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хабардор месозад.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Дар сурати эътибор пайдо кардани Паймон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баъди 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ихтиёри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тасвибномаи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даҳум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санад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эътибор пайдо мекунад.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Протоколро ба тасвиб мерасонад ё ба он баъди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тасвибномаи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даҳум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санад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баъди 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тасвибнома ё санад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худи он давлат эътибор пайдо 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10</w:t>
      </w:r>
      <w:bookmarkEnd w:id="18"/>
      <w:bookmarkEnd w:id="1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қисмҳои давлатҳои федеративӣ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бидуни ягон навъ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маҳдудият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истисно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мегарданд.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11</w:t>
      </w:r>
      <w:bookmarkEnd w:id="20"/>
      <w:bookmarkEnd w:id="2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ислоҳот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кунад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манзур намояд. Муншии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умумӣ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сипас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ислоҳоти пешниҳодшударо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ирсол мекунад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оё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ҷонибдорӣ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даъвати конференсияи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баррасии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доир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ҳастанд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не. Агар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ҳадди ақал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се як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 чунин конференсияро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кунанд,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конференсияро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васояти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даъват мекунад.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ислоҳоте,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бо аксари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овозҳои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ин конференсия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ҳозирбуда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ширкаткунанда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шудааст,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карда мешавад.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Ислоҳот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баъди аз тарафи 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се ду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расмиёти конститутсионии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гардиданашон эътибор пайдо мекунанд.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3" w:val="left"/>
        </w:tabs>
        <w:bidi w:val="0"/>
        <w:spacing w:before="0" w:after="32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Вақте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ислоҳот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 пайдо мекунанд,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ҳатмӣ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мешавад ва барои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ширкаткунанда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муқаррароти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ислоҳоти қаблие,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аз тарафи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ҳатмӣ боқӣ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мемонад.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12</w:t>
      </w:r>
      <w:bookmarkEnd w:id="22"/>
      <w:bookmarkEnd w:id="2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давлати ширкаткунанда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вақт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фиристодани хабарномаи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хаттӣ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номи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бекор кунад. Бекор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баъди 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тарафи Муншии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умумӣ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гирифта шудани ин хабарнома эътибор пайдо мекунад.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Бекор кардан ба идома ёфтани 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дар мавриди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маълумоте,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2 то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 пайдо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бекоркунӣ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шудааст, монеъ намегардад.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13</w:t>
      </w:r>
      <w:bookmarkEnd w:id="24"/>
      <w:bookmarkEnd w:id="2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Сарфи назар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хабарҳое,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банди 5 моддаи 8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анҷом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 мешаванд,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ҳамаи давлатҳоеро,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банди 1 моддаи 48 Паймон сухан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меравад, доир ба нукоти зерин хабардор месозад: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имзо кардан, ба тасвиб расонидан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8;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санаи эътибор пайдо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9 ва санаи эътибор пайдо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ислоҳот мувофиқи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11;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7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бекор кардан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12.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14</w:t>
      </w:r>
      <w:bookmarkEnd w:id="26"/>
      <w:bookmarkEnd w:id="2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Протокол, ки асли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матнҳои англисӣ, испанӣ, хитоӣ, русӣ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франсавии он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аст, бояд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бойгонии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супорида шавад.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Муншии умумии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нусхаҳои тасдиқшудаи ҳамин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Протоколро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давлатҳое,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дар моддаи 48 Паймон зикр шудаанд, ирсол менамояд.</w:t>
      </w:r>
    </w:p>
    <w:sectPr>
      <w:footnotePr>
        <w:pos w:val="pageBottom"/>
        <w:numFmt w:val="decimal"/>
        <w:numRestart w:val="continuous"/>
      </w:footnotePr>
      <w:pgSz w:w="11900" w:h="16840"/>
      <w:pgMar w:top="1119" w:left="1653" w:right="805" w:bottom="996" w:header="691" w:footer="5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ind w:firstLine="4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Помощник</dc:creator>
  <cp:keywords/>
</cp:coreProperties>
</file>